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703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75"/>
        <w:gridCol w:w="2658"/>
        <w:gridCol w:w="1636"/>
        <w:gridCol w:w="1201"/>
        <w:gridCol w:w="1133"/>
      </w:tblGrid>
      <w:tr>
        <w:trPr>
          <w:trHeight w:val="315" w:hRule="atLeast"/>
        </w:trPr>
        <w:tc>
          <w:tcPr>
            <w:tcW w:w="10703" w:type="dxa"/>
            <w:gridSpan w:val="5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Информация для граждан по вопросам реализации их законных интересов и прав на получение бесплатной медицинской помощи надлежащего объема и качества в рамках Территориальной программы  государственных гарантий бесплатного оказания гражданам медицинской помощи в Иркутской области на 2016 год.</w:t>
            </w:r>
          </w:p>
        </w:tc>
      </w:tr>
      <w:tr>
        <w:trPr>
          <w:trHeight w:val="630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1) Полное наименование медицинской организации с указанием: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Медико-санитарная часть открытого акционерного общества "Международный Аэропорт Иркутск"</w:t>
            </w:r>
          </w:p>
        </w:tc>
      </w:tr>
      <w:tr>
        <w:trPr>
          <w:trHeight w:val="315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Иркутск, ул. Можайского, дом 2.</w:t>
            </w:r>
          </w:p>
        </w:tc>
      </w:tr>
      <w:tr>
        <w:trPr>
          <w:trHeight w:val="315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контакты (телефоны, электронная почта)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0"/>
                <w:szCs w:val="20"/>
              </w:rPr>
              <w:t>8-3952-26-67-12. msch_priem@airport.irk.ru</w:t>
            </w:r>
          </w:p>
        </w:tc>
      </w:tr>
      <w:tr>
        <w:trPr>
          <w:trHeight w:val="315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структура медицинской организации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 w:cs="Mangal"/>
                <w:b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b/>
                <w:sz w:val="20"/>
                <w:szCs w:val="20"/>
                <w:lang w:eastAsia="hi-IN" w:bidi="hi-IN"/>
              </w:rPr>
              <w:t>Структурные подразделения МСЧ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sz w:val="20"/>
                <w:szCs w:val="20"/>
                <w:lang w:eastAsia="hi-IN" w:bidi="hi-IN"/>
              </w:rPr>
              <w:t xml:space="preserve">1 Поликлиника </w:t>
            </w: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на 250 посещений в день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регистратура;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смотровой кабинет;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терапевтическое подразделение (четыре цеховых участка);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стоматологический кабинет;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терапевтический кабинет;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хирургический кабинет;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прививочный кабинет;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процедурный кабинет;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кабинеты врачей узких специальностей: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кардиолога;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эндокринолога;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хирурга (приемная, перевязочная, операционная);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травматолога;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уролога;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гинеколога (приемная, перевязочная, операционная);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онколога;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невролога;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офтальмолога;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отоларинголога (процедурный, аудиометрический);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дерматовенеролога;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инфекциониста;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аллерголога.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sz w:val="20"/>
                <w:szCs w:val="20"/>
                <w:lang w:eastAsia="hi-IN" w:bidi="hi-IN"/>
              </w:rPr>
              <w:t>2 Стационар</w:t>
            </w: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 xml:space="preserve"> (115 коек круглосуточного и 13 коек дневного пребывания)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Кардиологическое отделение - 47 коек круглосуточных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Терапевтическое отделение - 6 коек круглосуточных, 1 койка дневного пребывания;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Неврологическое отделение – 37 коек круглосуточных, 4 койки дневного пребывания;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Хирургическое отделение – 20 коек круглосуточных, 8 коек дневного пребывания;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Отделение анестезиологии и реанимации – 6 коек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b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bCs/>
                <w:sz w:val="20"/>
                <w:szCs w:val="20"/>
                <w:lang w:eastAsia="hi-IN" w:bidi="hi-IN"/>
              </w:rPr>
              <w:t>3 Диагностические отделения: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Клинико-диагностическая лаборатория;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Отделение функциональной диагностики;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Отделение лучевой диагностики;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Эндоскопический кабинет.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b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bCs/>
                <w:sz w:val="20"/>
                <w:szCs w:val="20"/>
                <w:lang w:eastAsia="hi-IN" w:bidi="hi-IN"/>
              </w:rPr>
              <w:t>3.1 Клинико-диагностическая лаборатория: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общеклиническая;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биохимическая;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bCs/>
                <w:sz w:val="20"/>
                <w:szCs w:val="20"/>
                <w:lang w:eastAsia="hi-IN" w:bidi="hi-IN"/>
              </w:rPr>
              <w:t>- </w:t>
            </w: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серологическая;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иммуноферментная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b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bCs/>
                <w:sz w:val="20"/>
                <w:szCs w:val="20"/>
                <w:lang w:eastAsia="hi-IN" w:bidi="hi-IN"/>
              </w:rPr>
              <w:t>3.2 Отделение функциональной диагностики: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электрокардиография;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спирография;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электроэнцефалография;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эхоэнцефалоскопия;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холтеровское мониторирование ЭКГ;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суточное мониторирование АД;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велоэргометрия.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b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bCs/>
                <w:sz w:val="20"/>
                <w:szCs w:val="20"/>
                <w:lang w:eastAsia="hi-IN" w:bidi="hi-IN"/>
              </w:rPr>
              <w:t>3.3 Отделение лучевой диагностики: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 xml:space="preserve">- рентгенологические исследования: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общая рентгенография;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специальная;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 xml:space="preserve">- маммография;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рентгегоскопия;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 xml:space="preserve">- флюорография.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ультразвуковые исследования: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эхокардиография;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органов брюшной полости;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женских половых органов;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надпочечников, почек, мочевыводящих путей;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предстательной железы;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молочной железы;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щитовидной железы;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костно-суставной системы;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мягких тканей;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органов грудной клетки;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34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прочие.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b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bCs/>
                <w:sz w:val="20"/>
                <w:szCs w:val="20"/>
                <w:lang w:eastAsia="hi-IN" w:bidi="hi-IN"/>
              </w:rPr>
              <w:t>3.4 Эндоскопический кабинет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фиброгастроскопия;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фибробронхоскопия.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b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bCs/>
                <w:sz w:val="20"/>
                <w:szCs w:val="20"/>
                <w:lang w:eastAsia="hi-IN" w:bidi="hi-IN"/>
              </w:rPr>
              <w:t>4 Отделение физиотерапии, реабилитации и профилактики: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массаж;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ЛФК;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велотренировки, беговая дорожка;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тренажеры;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релаксационная терапия;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иглорефлексотерапия;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мануальная терапия;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фитотерапия;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электролечение;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ультразвуковое лечение;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прессотераия;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светолечение;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 xml:space="preserve">- теплолечение.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b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bCs/>
                <w:sz w:val="20"/>
                <w:szCs w:val="20"/>
                <w:lang w:eastAsia="hi-IN" w:bidi="hi-IN"/>
              </w:rPr>
              <w:t>5 Здравпункт: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медпункт аэровокзала;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стартовый медпункт;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- 2 кабинета для осмотра водителей.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b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bCs/>
                <w:sz w:val="20"/>
                <w:szCs w:val="20"/>
                <w:lang w:eastAsia="hi-IN" w:bidi="hi-IN"/>
              </w:rPr>
              <w:t>6 ВЛЭК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b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bCs/>
                <w:sz w:val="20"/>
                <w:szCs w:val="20"/>
                <w:lang w:eastAsia="hi-IN" w:bidi="hi-IN"/>
              </w:rPr>
              <w:t>7 Аптека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Lucida Sans Unicode" w:cs="Mangal"/>
                <w:b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b/>
                <w:bCs/>
                <w:sz w:val="20"/>
                <w:szCs w:val="20"/>
                <w:lang w:eastAsia="hi-IN" w:bidi="hi-IN"/>
              </w:rPr>
              <w:t>8 Административно-хозяйственные службы: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административно-управленческий аппарат;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административно-хозяйственная часть;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кабинет медицинской статистики;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eastAsia="Lucida Sans Unicode" w:cs="Mangal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пищеблок;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Lucida Sans Unicode" w:cs="Mangal" w:ascii="Times New Roman" w:hAnsi="Times New Roman"/>
                <w:sz w:val="20"/>
                <w:szCs w:val="20"/>
                <w:lang w:eastAsia="hi-IN" w:bidi="hi-IN"/>
              </w:rPr>
              <w:t>- архив.</w:t>
            </w:r>
          </w:p>
        </w:tc>
      </w:tr>
      <w:tr>
        <w:trPr>
          <w:trHeight w:val="260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схема проезда (карта)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InternetLink"/>
                  <w:rFonts w:cs="Times New Roman" w:ascii="Times New Roman" w:hAnsi="Times New Roman"/>
                  <w:sz w:val="20"/>
                  <w:szCs w:val="20"/>
                </w:rPr>
                <w:t>http://iktport.ru/o-med-organizacii.html</w:t>
              </w:r>
            </w:hyperlink>
          </w:p>
        </w:tc>
      </w:tr>
      <w:tr>
        <w:trPr>
          <w:trHeight w:val="315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транспортная доступность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график работы медицинской организации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Администрация.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Режим работы: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Пн –Пт: 08-00 – 17-15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Сб, Вс: выходной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Стационар круглосуточного пребывания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Режим работы: круглосуточный.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Стационар дневного пребывания при стационаре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Режим работы: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Пн –Пт, Сб, Вс: 08-00 – 16-15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Поликлиника взрослая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Пн –Пт: 08-00 –19-00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Сб, Вс: выходной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Здравпункт аэровокзала: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Режим работы: круглосуточный.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Клинико-диагностическая лаборатория: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Пн –Пт: 08-00 – 16-15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Сб, Вс: выходной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Отделение функциональной диагностики: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Пн –Пт: 08-00 – 16-15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Сб, Вс: выходной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Отделение лучевой диагностики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Пн –Пт: 08-00 – 14-00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Сб, Вс: выходной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Эндоскопический кабинет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Пн –Пт: 08-00 – 16-15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Сб, Вс: выходной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Отделение физиотерапии,  реабилитации и профилактики: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Пн –Пт: 08-00 – 16-15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Сб, Вс: выходной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ВЛЭК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Пн –Пт: 08-00 – 16-15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Сб, Вс: выходной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Аптека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Пн –Пт: 08-00 – 16-15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Сб, Вс: выходной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Административно-хозяйственные службы: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Пн –Пт: 08-00 – 17-15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Сб, Вс: выходной</w:t>
            </w:r>
          </w:p>
        </w:tc>
      </w:tr>
      <w:tr>
        <w:trPr>
          <w:trHeight w:val="239" w:hRule="atLeast"/>
        </w:trPr>
        <w:tc>
          <w:tcPr>
            <w:tcW w:w="4075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график приёма граждан руководителем и иными уполномоченными лицами медицинской организации</w:t>
            </w:r>
          </w:p>
        </w:tc>
        <w:tc>
          <w:tcPr>
            <w:tcW w:w="265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6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233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Время</w:t>
            </w:r>
          </w:p>
        </w:tc>
      </w:tr>
      <w:tr>
        <w:trPr>
          <w:trHeight w:val="525" w:hRule="atLeast"/>
        </w:trPr>
        <w:tc>
          <w:tcPr>
            <w:tcW w:w="4075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5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Директор МСЧ</w:t>
            </w:r>
          </w:p>
        </w:tc>
        <w:tc>
          <w:tcPr>
            <w:tcW w:w="16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Можайского, 2А, приёмная</w:t>
            </w:r>
          </w:p>
        </w:tc>
        <w:tc>
          <w:tcPr>
            <w:tcW w:w="233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вторник</w:t>
            </w:r>
          </w:p>
        </w:tc>
      </w:tr>
      <w:tr>
        <w:trPr>
          <w:trHeight w:val="744" w:hRule="atLeast"/>
        </w:trPr>
        <w:tc>
          <w:tcPr>
            <w:tcW w:w="4075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5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Главный врач</w:t>
            </w:r>
          </w:p>
        </w:tc>
        <w:tc>
          <w:tcPr>
            <w:tcW w:w="16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Можайского, 2А, кабинет главного врача</w:t>
            </w:r>
          </w:p>
        </w:tc>
        <w:tc>
          <w:tcPr>
            <w:tcW w:w="1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3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14-16</w:t>
            </w:r>
          </w:p>
        </w:tc>
      </w:tr>
      <w:tr>
        <w:trPr>
          <w:trHeight w:val="274" w:hRule="atLeast"/>
        </w:trPr>
        <w:tc>
          <w:tcPr>
            <w:tcW w:w="4075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5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163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13-15</w:t>
            </w:r>
          </w:p>
        </w:tc>
      </w:tr>
      <w:tr>
        <w:trPr>
          <w:trHeight w:val="251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график работ и часы приёма медицинскими работниками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соответствии с графиками работы размещенными на стендах в отделениях</w:t>
            </w:r>
          </w:p>
        </w:tc>
      </w:tr>
      <w:tr>
        <w:trPr>
          <w:trHeight w:val="2811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страховых медицинских организациях, с которыми работает медицинская организация (полное наименование, адрес, контактный телефон, адрес электронной почты);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АО «Страховая компания «СОГАЗ-Мед»: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>Иркутский филиал: 664011, г. Иркутск, ул. Свердлова, 41, тел. 24-18-61, 258-445</w:t>
              <w:br/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ОАО «РОСНО-МС»: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  <w:br/>
              <w:t>Иркутский филиал: 664009, г. Иркутск, пр. Угольный, 68, тел. (3952) 705678.</w:t>
              <w:br/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ОАО «МАСКИ»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  664011, г. Иркутск, ул. Карла Марска, 30, тел. (3952) 340136</w:t>
              <w:br/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АО ВТБ Медицинское страхование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  664003, г. Иркутск, ул. Дзержинского, д.1, тел. (3952) 2435985</w:t>
              <w:br/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ООО «Страховая компания «Ингосстрах-М»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  664007, г. Иркутск, ул. Красноказачья, 21, тел. (3952)534943</w:t>
            </w:r>
          </w:p>
        </w:tc>
      </w:tr>
      <w:tr>
        <w:trPr>
          <w:trHeight w:val="807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2) информация об осуществляемой медицинской деятельности (копии лицензий на все виды деятельности);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InternetLink"/>
                  <w:rFonts w:cs="Times New Roman" w:ascii="Times New Roman" w:hAnsi="Times New Roman"/>
                  <w:sz w:val="20"/>
                  <w:szCs w:val="20"/>
                </w:rPr>
                <w:t>http://www.iktport.ru/files/2014/lic_12_2016.pdf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84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перечень контролирующих организаций, в которые пациент может обратиться в случае возникновения конфликтных ситуаций, с указанием адресов, контактных телефонов и электронной почты;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Министерство здравоохранения Иркутской области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  Адрес: г. Иркутск, ул. К.Маркса, 29</w:t>
              <w:br/>
              <w:t>Тел.: +7 (3952) 28-03-26</w:t>
              <w:br/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Территориальный орган Федеральной службы по надзору в сфере здравоохранения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Адрес: 664011, г Иркутск, ул Горького, д 36</w:t>
              <w:br/>
              <w:t>Тел.: +7 (3952) 21-70-13,</w:t>
              <w:br/>
              <w:t>Эл. почта: tvt@reg38.roszdravnadzor.ru</w:t>
              <w:br/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Территориальный орган Федеральной службы по надзору в сфере защиты прав потребителей и благополучия человека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Адрес: 664003, г. Иркутск, ул. Карла Маркса, д. 8</w:t>
              <w:br/>
              <w:t>Тел.: +7 (3952) 24-33-67</w:t>
              <w:br/>
              <w:t>Эл. почта: mail@38.rospotrebnadzor.ru</w:t>
              <w:br/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Государственное учреждение Территориальный фонд обязательного медицинского страхования граждан Иркутской области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Адрес: 664022, г.Иркутск, ул. 3 Июля, 20</w:t>
              <w:br/>
              <w:t>Тел.: +7 (3952) 34-19-20, (3952) 24-05-31</w:t>
              <w:br/>
              <w:t>Эл. почта: irotfoms@irkoms.ru</w:t>
            </w:r>
          </w:p>
        </w:tc>
      </w:tr>
      <w:tr>
        <w:trPr>
          <w:trHeight w:val="2690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4) сведения о возможности получения медицинской помощи в рамках Программы;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рамках ТПОМС: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застрахованным лицам оказываются первичная медико-санитарная помощь, специализированная медицинская помощь при следующих заболеваниях и состояниях: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новообразования;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болезни эндокринной системы;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болезни уха и сосцевидного отростка;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болезни системы кровообращения;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болезни органов дыхания;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болезни органов пищеварения, в том числе болезни полости рта, слюнных желез и челюстей (за исключением зубного протезирования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болезни мочеполовой системы;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болезни кожи и подкожной клетчатки;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болезни костно-мышечной системы и соединительной ткани;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Отдельным категориям граждан осуществляются: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лекарственными препаратами для медицинского применения в соответствии с законодательством Российской Федерации;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профилактические медицинские осмотры и диспансеризация в соответствии с порядками, утвержденными Министерством здравоохранения Российской Федерации, определенных групп взрослого населения в возрасте 18 лет и старше, в том числе работающих и неработающих граждан, обучающихся в образовательных организациях по очной форме;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6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5) правила записи на первичный прием/консультацию/обследование;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Запись на первичный приём осуществляется в регистратуре поликлиники, очно или по телефону. Запись на консультацию врача-специалиста, обследование проводится по направлению лечащего врача.</w:t>
            </w:r>
          </w:p>
        </w:tc>
      </w:tr>
      <w:tr>
        <w:trPr>
          <w:trHeight w:val="469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6) информация о сроках и порядке проведения диспансеризации населения в медицинской организации;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целях профилактики заболеваний проводится диспансеризация следующих категорий граждан: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взрослого населения 1 раз в 3 года,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начиная с 21 года жизни, за исключением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лиц, награжденных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которые проходят диспансеризацию ежегодно вне зависимости от возраста.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Также проводятся профилактические медицинские осмотры граждан 1 раз в 2 года, за исключением года прохождения диспансеризации и медицинских осмотров несовершеннолетних, в том числе при поступлении в образовательные организации и в период обучения в них.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Диспансеризация взрослого населения в каждом возрастном периоде проводится в два этапа.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64" w:hRule="atLeast"/>
        </w:trPr>
        <w:tc>
          <w:tcPr>
            <w:tcW w:w="407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7) правила госпитализации (сроки ожидания плановой госпитализации и необходимые документы);</w:t>
            </w:r>
          </w:p>
        </w:tc>
        <w:tc>
          <w:tcPr>
            <w:tcW w:w="6628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плановая госпитализация в стационар осуществляется по направлению лечащего врача, в сроки , не превышающие 30 дней после записи в лист ожидания  в круглосуточный стационар и сроки и сроки не превышающие 14 дней в стационар дневного пребывания. При поступлении на госпитализацию  необходимо иметь: направление на госпитализацию, паспорт, медицинский полис.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3"/>
        <w:tblW w:w="10704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77"/>
        <w:gridCol w:w="6626"/>
      </w:tblGrid>
      <w:tr>
        <w:trPr>
          <w:trHeight w:val="543" w:hRule="atLeast"/>
        </w:trPr>
        <w:tc>
          <w:tcPr>
            <w:tcW w:w="4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pageBreakBefore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8) информация о правах и обязанностях граждан в сфере охраны здоровья;</w:t>
            </w:r>
          </w:p>
        </w:tc>
        <w:tc>
          <w:tcPr>
            <w:tcW w:w="662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InternetLink"/>
                  <w:rFonts w:cs="Times New Roman" w:ascii="Times New Roman" w:hAnsi="Times New Roman"/>
                  <w:sz w:val="20"/>
                  <w:szCs w:val="20"/>
                </w:rPr>
                <w:t>ФЗ №323-ФЗ от 21.11. 2011 года. Глава 4. Права и обязанности граждан в сфере охраны здоровья.</w:t>
              </w:r>
            </w:hyperlink>
          </w:p>
        </w:tc>
      </w:tr>
      <w:tr>
        <w:trPr>
          <w:trHeight w:val="993" w:hRule="atLeast"/>
        </w:trPr>
        <w:tc>
          <w:tcPr>
            <w:tcW w:w="4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9) информация о перечне платных медицинских услуг с указанием цен в рублях, сведения об условиях, порядке, форме предоставления медицинских услуг и порядке их оплаты;</w:t>
            </w:r>
          </w:p>
        </w:tc>
        <w:tc>
          <w:tcPr>
            <w:tcW w:w="662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InternetLink"/>
                  <w:rFonts w:cs="Times New Roman" w:ascii="Times New Roman" w:hAnsi="Times New Roman"/>
                  <w:sz w:val="20"/>
                  <w:szCs w:val="20"/>
                </w:rPr>
                <w:t>http://www.iktport.ru/files/2015/price_mcsh_</w:t>
              </w:r>
              <w:r>
                <w:rPr>
                  <w:rStyle w:val="InternetLink"/>
                  <w:rFonts w:cs="Times New Roman" w:ascii="Times New Roman" w:hAnsi="Times New Roman"/>
                  <w:sz w:val="20"/>
                  <w:szCs w:val="20"/>
                </w:rPr>
                <w:t>01_04_17</w:t>
              </w:r>
              <w:r>
                <w:rPr>
                  <w:rStyle w:val="InternetLink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InternetLink"/>
                  <w:rFonts w:cs="Times New Roman" w:ascii="Times New Roman" w:hAnsi="Times New Roman"/>
                  <w:sz w:val="20"/>
                  <w:szCs w:val="20"/>
                </w:rPr>
                <w:t>pdf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95" w:hRule="atLeast"/>
        </w:trPr>
        <w:tc>
          <w:tcPr>
            <w:tcW w:w="4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10) механизмы обратной связи, в том числе возможность размещения обращения на сайте медицинской организации (форма для подачи электронного запроса) и рубрика «вопрос-ответ».</w:t>
            </w:r>
          </w:p>
        </w:tc>
        <w:tc>
          <w:tcPr>
            <w:tcW w:w="662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30" w:hRule="atLeast"/>
        </w:trPr>
        <w:tc>
          <w:tcPr>
            <w:tcW w:w="407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Кроме того, в доступном для посетителей месте должны быть расположены почтовый ящик с надписью «Для писем руководителю», а также книга жалоб и предложений.</w:t>
            </w:r>
          </w:p>
        </w:tc>
        <w:tc>
          <w:tcPr>
            <w:tcW w:w="662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Размещены в отделениях МСЧ.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9652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60e00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486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ktport.ru/o-med-organizacii.html" TargetMode="External"/><Relationship Id="rId3" Type="http://schemas.openxmlformats.org/officeDocument/2006/relationships/hyperlink" Target="http://www.iktport.ru/files/2014/lic-10-11-2014.docx" TargetMode="External"/><Relationship Id="rId4" Type="http://schemas.openxmlformats.org/officeDocument/2006/relationships/hyperlink" Target="file:///C:\Users\verkhoturtsev\AppData\Local\Temp\&#1043;&#1083;&#1072;&#1074;&#1072; 4. &#1055;&#1088;&#1072;&#1074;&#1072; &#1080; &#1086;&#1073;&#1103;&#1079;&#1072;&#1085;&#1085;&#1086;&#1089;&#1090;&#1080; &#1075;&#1088;&#1072;&#1078;&#1076;&#1072;&#1085; &#1074; &#1089;&#1092;&#1077;&#1088;&#1077; &#1086;&#1093;&#1088;&#1072;&#1085;&#1099; &#1079;&#1076;&#1086;&#1088;&#1086;&#1074;&#1100;&#1103;..docx" TargetMode="External"/><Relationship Id="rId5" Type="http://schemas.openxmlformats.org/officeDocument/2006/relationships/hyperlink" Target="http://www.iktport.ru/files/2015/price_mcsh_2016.docx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LibreOffice/5.2.2.2$MacOSX_X86_64 LibreOffice_project/8f96e87c890bf8fa77463cd4b640a2312823f3ad</Application>
  <Pages>5</Pages>
  <Words>1308</Words>
  <Characters>9681</Characters>
  <CharactersWithSpaces>10838</CharactersWithSpaces>
  <Paragraphs>201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2016-02-17T14:56:00Z</dcterms:created>
  <dc:creator>Акулова Галина</dc:creator>
  <dc:description/>
  <dc:language>ru-RU</dc:language>
  <cp:lastModifiedBy/>
  <dcterms:modified xsi:type="dcterms:W3CDTF">2017-04-07T09:27:45Z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